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5E" w:rsidRDefault="005F253F" w:rsidP="005F253F">
      <w:pPr>
        <w:jc w:val="center"/>
      </w:pPr>
      <w:r>
        <w:rPr>
          <w:noProof/>
        </w:rPr>
        <w:drawing>
          <wp:inline distT="0" distB="0" distL="0" distR="0">
            <wp:extent cx="213360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_Logo_1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3F" w:rsidRPr="005F253F" w:rsidRDefault="005F253F" w:rsidP="005F253F">
      <w:pPr>
        <w:pStyle w:val="StandardWeb"/>
        <w:spacing w:after="278"/>
        <w:jc w:val="center"/>
        <w:rPr>
          <w:b/>
        </w:rPr>
      </w:pPr>
      <w:r w:rsidRPr="005F253F">
        <w:rPr>
          <w:rFonts w:ascii="Arial" w:hAnsi="Arial" w:cs="Arial"/>
          <w:b/>
          <w:bCs/>
          <w:iCs/>
          <w:sz w:val="20"/>
          <w:szCs w:val="20"/>
        </w:rPr>
        <w:t>Behandlung mit körpereigenen Stoffen – PRP-Therapie (analog der ACP-Therapie)</w:t>
      </w:r>
    </w:p>
    <w:p w:rsidR="005F253F" w:rsidRPr="005F253F" w:rsidRDefault="005F253F" w:rsidP="005F253F">
      <w:pPr>
        <w:pStyle w:val="StandardWeb"/>
        <w:spacing w:before="278" w:beforeAutospacing="0" w:after="278"/>
        <w:jc w:val="both"/>
        <w:rPr>
          <w:b/>
        </w:rPr>
      </w:pPr>
      <w:r w:rsidRPr="005F253F">
        <w:rPr>
          <w:rFonts w:ascii="Arial" w:hAnsi="Arial" w:cs="Arial"/>
          <w:b/>
          <w:bCs/>
          <w:sz w:val="20"/>
          <w:szCs w:val="20"/>
        </w:rPr>
        <w:t>Was bedeutet PRP Therapie:</w:t>
      </w:r>
    </w:p>
    <w:p w:rsidR="005F253F" w:rsidRPr="005F253F" w:rsidRDefault="005F253F" w:rsidP="005F253F">
      <w:pPr>
        <w:pStyle w:val="StandardWeb"/>
        <w:spacing w:before="278" w:beforeAutospacing="0" w:after="278"/>
        <w:jc w:val="both"/>
      </w:pPr>
      <w:r w:rsidRPr="005F253F">
        <w:rPr>
          <w:rFonts w:ascii="Arial" w:hAnsi="Arial" w:cs="Arial"/>
          <w:bCs/>
          <w:sz w:val="20"/>
          <w:szCs w:val="20"/>
        </w:rPr>
        <w:t>Bei der PRP Therapie (</w:t>
      </w:r>
      <w:proofErr w:type="spellStart"/>
      <w:r w:rsidRPr="005F253F">
        <w:rPr>
          <w:rFonts w:ascii="Arial" w:hAnsi="Arial" w:cs="Arial"/>
          <w:bCs/>
          <w:sz w:val="20"/>
          <w:szCs w:val="20"/>
        </w:rPr>
        <w:t>Platelet</w:t>
      </w:r>
      <w:proofErr w:type="spellEnd"/>
      <w:r w:rsidRPr="005F253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F253F">
        <w:rPr>
          <w:rFonts w:ascii="Arial" w:hAnsi="Arial" w:cs="Arial"/>
          <w:bCs/>
          <w:sz w:val="20"/>
          <w:szCs w:val="20"/>
        </w:rPr>
        <w:t>rich</w:t>
      </w:r>
      <w:proofErr w:type="spellEnd"/>
      <w:r w:rsidRPr="005F253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F253F">
        <w:rPr>
          <w:rFonts w:ascii="Arial" w:hAnsi="Arial" w:cs="Arial"/>
          <w:bCs/>
          <w:sz w:val="20"/>
          <w:szCs w:val="20"/>
        </w:rPr>
        <w:t>plasma</w:t>
      </w:r>
      <w:proofErr w:type="spellEnd"/>
      <w:r w:rsidRPr="005F253F">
        <w:rPr>
          <w:rFonts w:ascii="Arial" w:hAnsi="Arial" w:cs="Arial"/>
          <w:bCs/>
          <w:sz w:val="20"/>
          <w:szCs w:val="20"/>
        </w:rPr>
        <w:t>) handelt es sich um eine Therapie mit körpe</w:t>
      </w:r>
      <w:r w:rsidR="00B53F5C">
        <w:rPr>
          <w:rFonts w:ascii="Arial" w:hAnsi="Arial" w:cs="Arial"/>
          <w:bCs/>
          <w:sz w:val="20"/>
          <w:szCs w:val="20"/>
        </w:rPr>
        <w:t xml:space="preserve">reigenen Blutplättchen die </w:t>
      </w:r>
      <w:r w:rsidRPr="005F253F">
        <w:rPr>
          <w:rFonts w:ascii="Arial" w:hAnsi="Arial" w:cs="Arial"/>
          <w:bCs/>
          <w:sz w:val="20"/>
          <w:szCs w:val="20"/>
        </w:rPr>
        <w:t>Wachstumsfak</w:t>
      </w:r>
      <w:r w:rsidR="00B53F5C">
        <w:rPr>
          <w:rFonts w:ascii="Arial" w:hAnsi="Arial" w:cs="Arial"/>
          <w:bCs/>
          <w:sz w:val="20"/>
          <w:szCs w:val="20"/>
        </w:rPr>
        <w:t>t</w:t>
      </w:r>
      <w:r w:rsidRPr="005F253F">
        <w:rPr>
          <w:rFonts w:ascii="Arial" w:hAnsi="Arial" w:cs="Arial"/>
          <w:bCs/>
          <w:sz w:val="20"/>
          <w:szCs w:val="20"/>
        </w:rPr>
        <w:t>oren freisetzen</w:t>
      </w:r>
      <w:r w:rsidR="00B53F5C">
        <w:rPr>
          <w:rFonts w:ascii="Arial" w:hAnsi="Arial" w:cs="Arial"/>
          <w:bCs/>
          <w:sz w:val="20"/>
          <w:szCs w:val="20"/>
        </w:rPr>
        <w:t>,</w:t>
      </w:r>
      <w:r w:rsidRPr="005F253F">
        <w:rPr>
          <w:rFonts w:ascii="Arial" w:hAnsi="Arial" w:cs="Arial"/>
          <w:bCs/>
          <w:sz w:val="20"/>
          <w:szCs w:val="20"/>
        </w:rPr>
        <w:t xml:space="preserve"> welche für die Heilung verantwortlich sind. </w:t>
      </w:r>
    </w:p>
    <w:p w:rsidR="005F253F" w:rsidRPr="005F253F" w:rsidRDefault="005F253F" w:rsidP="005F253F">
      <w:pPr>
        <w:pStyle w:val="StandardWeb"/>
        <w:spacing w:before="278" w:beforeAutospacing="0" w:after="278"/>
        <w:jc w:val="both"/>
        <w:rPr>
          <w:b/>
        </w:rPr>
      </w:pPr>
      <w:r w:rsidRPr="005F253F">
        <w:rPr>
          <w:rFonts w:ascii="Arial" w:hAnsi="Arial" w:cs="Arial"/>
          <w:b/>
          <w:bCs/>
          <w:sz w:val="20"/>
          <w:szCs w:val="20"/>
        </w:rPr>
        <w:t>Behandlungsablauf:</w:t>
      </w:r>
    </w:p>
    <w:p w:rsidR="005F253F" w:rsidRPr="005F253F" w:rsidRDefault="005F253F" w:rsidP="005F253F">
      <w:pPr>
        <w:pStyle w:val="StandardWeb"/>
        <w:spacing w:before="278" w:beforeAutospacing="0" w:after="278"/>
        <w:jc w:val="both"/>
      </w:pPr>
      <w:r w:rsidRPr="005F253F">
        <w:rPr>
          <w:rFonts w:ascii="Arial" w:hAnsi="Arial" w:cs="Arial"/>
          <w:bCs/>
          <w:sz w:val="20"/>
          <w:szCs w:val="20"/>
        </w:rPr>
        <w:t xml:space="preserve">Abnahme von 15ml Blut aus einer Vene. Anschließend wird das Blut zentrifugiert und die </w:t>
      </w:r>
      <w:r w:rsidR="00E5029A">
        <w:rPr>
          <w:rFonts w:ascii="Arial" w:hAnsi="Arial" w:cs="Arial"/>
          <w:bCs/>
          <w:sz w:val="20"/>
          <w:szCs w:val="20"/>
        </w:rPr>
        <w:t>Blutplättchen gesammelt. Es blei</w:t>
      </w:r>
      <w:r w:rsidRPr="005F253F">
        <w:rPr>
          <w:rFonts w:ascii="Arial" w:hAnsi="Arial" w:cs="Arial"/>
          <w:bCs/>
          <w:sz w:val="20"/>
          <w:szCs w:val="20"/>
        </w:rPr>
        <w:t xml:space="preserve">ben 3-5ml Serum mit den darin enthaltenden Blutplättchen zurück. Diese werden dann an den Wirkort gespritzt. Die Behandlung muss je nach Verletzung bis zu </w:t>
      </w:r>
      <w:r w:rsidR="00B53F5C" w:rsidRPr="005F253F">
        <w:rPr>
          <w:rFonts w:ascii="Arial" w:hAnsi="Arial" w:cs="Arial"/>
          <w:bCs/>
          <w:sz w:val="20"/>
          <w:szCs w:val="20"/>
        </w:rPr>
        <w:t>4-mal</w:t>
      </w:r>
      <w:r w:rsidRPr="005F253F">
        <w:rPr>
          <w:rFonts w:ascii="Arial" w:hAnsi="Arial" w:cs="Arial"/>
          <w:bCs/>
          <w:sz w:val="20"/>
          <w:szCs w:val="20"/>
        </w:rPr>
        <w:t xml:space="preserve"> im Abstand von einer Woche wiederholt werden. </w:t>
      </w:r>
      <w:bookmarkStart w:id="0" w:name="_GoBack"/>
      <w:bookmarkEnd w:id="0"/>
    </w:p>
    <w:p w:rsidR="005F253F" w:rsidRPr="005F253F" w:rsidRDefault="005F253F" w:rsidP="005F253F">
      <w:pPr>
        <w:pStyle w:val="StandardWeb"/>
        <w:spacing w:before="278" w:beforeAutospacing="0" w:after="278"/>
        <w:jc w:val="both"/>
        <w:rPr>
          <w:b/>
        </w:rPr>
      </w:pPr>
      <w:r w:rsidRPr="005F253F">
        <w:rPr>
          <w:rFonts w:ascii="Arial" w:hAnsi="Arial" w:cs="Arial"/>
          <w:b/>
          <w:bCs/>
          <w:sz w:val="20"/>
          <w:szCs w:val="20"/>
        </w:rPr>
        <w:t>Vorteile:</w:t>
      </w:r>
    </w:p>
    <w:p w:rsidR="005F253F" w:rsidRPr="005F253F" w:rsidRDefault="005F253F" w:rsidP="005F253F">
      <w:pPr>
        <w:pStyle w:val="StandardWeb"/>
        <w:numPr>
          <w:ilvl w:val="0"/>
          <w:numId w:val="1"/>
        </w:numPr>
        <w:spacing w:before="278" w:beforeAutospacing="0"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Ambulante Versorgung in der Praxis</w:t>
      </w:r>
    </w:p>
    <w:p w:rsidR="005F253F" w:rsidRPr="005F253F" w:rsidRDefault="005F253F" w:rsidP="005F253F">
      <w:pPr>
        <w:pStyle w:val="StandardWeb"/>
        <w:numPr>
          <w:ilvl w:val="0"/>
          <w:numId w:val="1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Geringer Zeitaufwand (&lt;30min)</w:t>
      </w:r>
    </w:p>
    <w:p w:rsidR="005F253F" w:rsidRPr="005F253F" w:rsidRDefault="005F253F" w:rsidP="005F253F">
      <w:pPr>
        <w:pStyle w:val="StandardWeb"/>
        <w:numPr>
          <w:ilvl w:val="0"/>
          <w:numId w:val="1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Körpereigene Wirkstoffe ohne Risiko von Allergien oder Unverträglichkeiten</w:t>
      </w:r>
    </w:p>
    <w:p w:rsidR="005F253F" w:rsidRPr="005F253F" w:rsidRDefault="005F253F" w:rsidP="005F253F">
      <w:pPr>
        <w:pStyle w:val="StandardWeb"/>
        <w:numPr>
          <w:ilvl w:val="0"/>
          <w:numId w:val="1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Nutzung körpereigener Regenerationskräfte</w:t>
      </w:r>
    </w:p>
    <w:p w:rsidR="005F253F" w:rsidRPr="005F253F" w:rsidRDefault="005F253F" w:rsidP="005F253F">
      <w:pPr>
        <w:pStyle w:val="StandardWeb"/>
        <w:numPr>
          <w:ilvl w:val="0"/>
          <w:numId w:val="1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Konzentration von Wachstumsfaktoren im Blut</w:t>
      </w:r>
    </w:p>
    <w:p w:rsidR="005F253F" w:rsidRPr="005F253F" w:rsidRDefault="005F253F" w:rsidP="005F253F">
      <w:pPr>
        <w:pStyle w:val="StandardWeb"/>
        <w:numPr>
          <w:ilvl w:val="0"/>
          <w:numId w:val="1"/>
        </w:numPr>
        <w:spacing w:after="278"/>
        <w:jc w:val="both"/>
      </w:pPr>
      <w:r w:rsidRPr="005F253F">
        <w:rPr>
          <w:rFonts w:ascii="Arial" w:hAnsi="Arial" w:cs="Arial"/>
          <w:bCs/>
          <w:sz w:val="20"/>
          <w:szCs w:val="20"/>
        </w:rPr>
        <w:t xml:space="preserve">Sicheres Verfahren </w:t>
      </w:r>
    </w:p>
    <w:p w:rsidR="005F253F" w:rsidRPr="005F253F" w:rsidRDefault="005F253F" w:rsidP="005F253F">
      <w:pPr>
        <w:pStyle w:val="StandardWeb"/>
        <w:spacing w:before="278" w:beforeAutospacing="0" w:after="278"/>
        <w:jc w:val="both"/>
        <w:rPr>
          <w:b/>
        </w:rPr>
      </w:pPr>
      <w:r w:rsidRPr="005F253F">
        <w:rPr>
          <w:rFonts w:ascii="Arial" w:hAnsi="Arial" w:cs="Arial"/>
          <w:b/>
          <w:bCs/>
          <w:sz w:val="20"/>
          <w:szCs w:val="20"/>
        </w:rPr>
        <w:t>Indikationen:</w:t>
      </w:r>
    </w:p>
    <w:p w:rsidR="005F253F" w:rsidRPr="005F253F" w:rsidRDefault="005F253F" w:rsidP="005F253F">
      <w:pPr>
        <w:pStyle w:val="StandardWeb"/>
        <w:numPr>
          <w:ilvl w:val="0"/>
          <w:numId w:val="2"/>
        </w:numPr>
        <w:spacing w:before="278" w:beforeAutospacing="0"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Arthrose Stadium I-II (III)</w:t>
      </w:r>
    </w:p>
    <w:p w:rsidR="005F253F" w:rsidRPr="005F253F" w:rsidRDefault="005F253F" w:rsidP="005F253F">
      <w:pPr>
        <w:pStyle w:val="StandardWeb"/>
        <w:numPr>
          <w:ilvl w:val="0"/>
          <w:numId w:val="2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Nach Operationen am Gelenk oder anderen Geweben</w:t>
      </w:r>
    </w:p>
    <w:p w:rsidR="005F253F" w:rsidRPr="005F253F" w:rsidRDefault="005F253F" w:rsidP="005F253F">
      <w:pPr>
        <w:pStyle w:val="StandardWeb"/>
        <w:numPr>
          <w:ilvl w:val="0"/>
          <w:numId w:val="2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Meniskusverletzungen</w:t>
      </w:r>
    </w:p>
    <w:p w:rsidR="005F253F" w:rsidRPr="005F253F" w:rsidRDefault="005F253F" w:rsidP="005F253F">
      <w:pPr>
        <w:pStyle w:val="StandardWeb"/>
        <w:numPr>
          <w:ilvl w:val="0"/>
          <w:numId w:val="2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Muskelverletzungen (z.B. Muskelfaserriss)</w:t>
      </w:r>
    </w:p>
    <w:p w:rsidR="005F253F" w:rsidRPr="005F253F" w:rsidRDefault="005F253F" w:rsidP="005F253F">
      <w:pPr>
        <w:pStyle w:val="StandardWeb"/>
        <w:numPr>
          <w:ilvl w:val="0"/>
          <w:numId w:val="2"/>
        </w:numPr>
        <w:spacing w:after="0"/>
        <w:jc w:val="both"/>
      </w:pPr>
      <w:r w:rsidRPr="005F253F">
        <w:rPr>
          <w:rFonts w:ascii="Arial" w:hAnsi="Arial" w:cs="Arial"/>
          <w:bCs/>
          <w:sz w:val="20"/>
          <w:szCs w:val="20"/>
        </w:rPr>
        <w:t>Sehnenverletzungen (z.B. Bänderriss)</w:t>
      </w:r>
    </w:p>
    <w:p w:rsidR="005F253F" w:rsidRPr="005F253F" w:rsidRDefault="005F253F" w:rsidP="005F253F">
      <w:pPr>
        <w:pStyle w:val="StandardWeb"/>
        <w:numPr>
          <w:ilvl w:val="0"/>
          <w:numId w:val="2"/>
        </w:numPr>
        <w:spacing w:after="278"/>
        <w:jc w:val="both"/>
      </w:pPr>
      <w:r w:rsidRPr="005F253F">
        <w:rPr>
          <w:rFonts w:ascii="Arial" w:hAnsi="Arial" w:cs="Arial"/>
          <w:bCs/>
          <w:sz w:val="20"/>
          <w:szCs w:val="20"/>
        </w:rPr>
        <w:t>Sehnenüberlastungen (Tennisarm, Tennisellenbogen, Achillessehne, Fersensporn)</w:t>
      </w:r>
    </w:p>
    <w:p w:rsidR="005F253F" w:rsidRDefault="005F253F" w:rsidP="005F253F">
      <w:pPr>
        <w:pStyle w:val="StandardWeb"/>
        <w:spacing w:before="278" w:beforeAutospacing="0" w:after="278"/>
        <w:rPr>
          <w:rFonts w:ascii="Arial" w:hAnsi="Arial" w:cs="Arial"/>
          <w:b/>
          <w:sz w:val="20"/>
          <w:szCs w:val="20"/>
        </w:rPr>
      </w:pPr>
      <w:r w:rsidRPr="005F253F">
        <w:rPr>
          <w:rFonts w:ascii="Arial" w:hAnsi="Arial" w:cs="Arial"/>
          <w:b/>
          <w:sz w:val="20"/>
          <w:szCs w:val="20"/>
        </w:rPr>
        <w:t>Kosten:</w:t>
      </w:r>
    </w:p>
    <w:p w:rsidR="005F253F" w:rsidRPr="005F253F" w:rsidRDefault="005F253F" w:rsidP="005F253F">
      <w:pPr>
        <w:pStyle w:val="StandardWeb"/>
        <w:spacing w:before="278" w:beforeAutospacing="0" w:after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Kosten der PRP und ACP Therapie werden von den privaten Krankenkassen zumeist übernommen. Für Kassenpatienten entstehen Kos</w:t>
      </w:r>
      <w:r w:rsidR="00E5029A">
        <w:rPr>
          <w:rFonts w:ascii="Arial" w:hAnsi="Arial" w:cs="Arial"/>
          <w:sz w:val="20"/>
          <w:szCs w:val="20"/>
        </w:rPr>
        <w:t>ten von rund 40 € pro Sitzung</w:t>
      </w:r>
      <w:r>
        <w:rPr>
          <w:rFonts w:ascii="Arial" w:hAnsi="Arial" w:cs="Arial"/>
          <w:sz w:val="20"/>
          <w:szCs w:val="20"/>
        </w:rPr>
        <w:t>.</w:t>
      </w:r>
    </w:p>
    <w:p w:rsidR="005F253F" w:rsidRDefault="005F253F" w:rsidP="005F253F">
      <w:pPr>
        <w:jc w:val="center"/>
      </w:pPr>
    </w:p>
    <w:sectPr w:rsidR="005F253F" w:rsidSect="0055448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26BA"/>
    <w:multiLevelType w:val="multilevel"/>
    <w:tmpl w:val="CA3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2701F"/>
    <w:multiLevelType w:val="multilevel"/>
    <w:tmpl w:val="513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129CBF-4E40-4B2F-8880-4728DA53CBD4}"/>
    <w:docVar w:name="dgnword-eventsink" w:val="458048592"/>
  </w:docVars>
  <w:rsids>
    <w:rsidRoot w:val="005F253F"/>
    <w:rsid w:val="005F253F"/>
    <w:rsid w:val="0079125E"/>
    <w:rsid w:val="00B53F5C"/>
    <w:rsid w:val="00E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FFD2"/>
  <w15:chartTrackingRefBased/>
  <w15:docId w15:val="{99DEAAB2-6D52-4996-9B22-0EC53C5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25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Kiss</dc:creator>
  <cp:keywords/>
  <dc:description/>
  <cp:lastModifiedBy>Matthias Kiss</cp:lastModifiedBy>
  <cp:revision>3</cp:revision>
  <dcterms:created xsi:type="dcterms:W3CDTF">2018-04-14T08:55:00Z</dcterms:created>
  <dcterms:modified xsi:type="dcterms:W3CDTF">2018-04-17T08:03:00Z</dcterms:modified>
</cp:coreProperties>
</file>